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B2" w:rsidRPr="007908B2" w:rsidRDefault="007908B2" w:rsidP="007908B2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/>
          <w:color w:val="auto"/>
          <w:sz w:val="24"/>
          <w:szCs w:val="24"/>
          <w:lang w:val="uk-UA"/>
        </w:rPr>
      </w:pPr>
      <w:r w:rsidRPr="007908B2">
        <w:rPr>
          <w:rFonts w:ascii="Times New Roman" w:hAnsi="Times New Roman"/>
          <w:color w:val="auto"/>
          <w:sz w:val="24"/>
          <w:szCs w:val="24"/>
          <w:lang w:val="uk-UA"/>
        </w:rPr>
        <w:t xml:space="preserve">Бензин А-95 (Євро 5), талон (ID </w:t>
      </w:r>
      <w:r w:rsidRPr="007908B2">
        <w:rPr>
          <w:rFonts w:ascii="Times New Roman" w:hAnsi="Times New Roman"/>
          <w:color w:val="auto"/>
          <w:sz w:val="24"/>
          <w:szCs w:val="24"/>
        </w:rPr>
        <w:t>UA-2024-02-14-009005-a</w:t>
      </w:r>
      <w:r w:rsidRPr="007908B2">
        <w:rPr>
          <w:rFonts w:ascii="Times New Roman" w:hAnsi="Times New Roman"/>
          <w:color w:val="auto"/>
          <w:sz w:val="24"/>
          <w:szCs w:val="24"/>
          <w:lang w:val="uk-UA"/>
        </w:rPr>
        <w:t>)</w:t>
      </w:r>
    </w:p>
    <w:p w:rsidR="007908B2" w:rsidRDefault="007908B2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43A83" w:rsidRDefault="00F43A83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4CBC">
        <w:rPr>
          <w:rFonts w:ascii="Times New Roman" w:hAnsi="Times New Roman"/>
          <w:color w:val="000000"/>
          <w:sz w:val="24"/>
          <w:szCs w:val="24"/>
          <w:lang w:val="uk-UA"/>
        </w:rPr>
        <w:t xml:space="preserve">Обґрунтування технічних та якісних характеристик предмета закупівлі </w:t>
      </w:r>
    </w:p>
    <w:p w:rsidR="007908B2" w:rsidRPr="007908B2" w:rsidRDefault="007908B2" w:rsidP="007908B2">
      <w:pPr>
        <w:rPr>
          <w:lang w:val="uk-UA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CA6D1A" w:rsidRPr="007908B2" w:rsidTr="00CA6D1A">
        <w:trPr>
          <w:trHeight w:val="467"/>
        </w:trPr>
        <w:tc>
          <w:tcPr>
            <w:tcW w:w="15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CA6D1A" w:rsidRDefault="00CA6D1A" w:rsidP="00CA6D1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F43A83">
              <w:rPr>
                <w:rStyle w:val="a6"/>
                <w:color w:val="000000"/>
                <w:bdr w:val="none" w:sz="0" w:space="0" w:color="auto" w:frame="1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rStyle w:val="a6"/>
                <w:color w:val="000000"/>
                <w:bdr w:val="none" w:sz="0" w:space="0" w:color="auto" w:frame="1"/>
              </w:rPr>
              <w:t xml:space="preserve"> </w:t>
            </w:r>
            <w:r w:rsidRPr="00F43A83">
              <w:rPr>
                <w:color w:val="000000"/>
              </w:rPr>
              <w:t>(відповідно до пункту 4</w:t>
            </w:r>
            <w:r w:rsidRPr="00F43A83">
              <w:rPr>
                <w:color w:val="000000"/>
                <w:bdr w:val="none" w:sz="0" w:space="0" w:color="auto" w:frame="1"/>
                <w:vertAlign w:val="superscript"/>
              </w:rPr>
              <w:t>1 </w:t>
            </w:r>
            <w:r w:rsidRPr="00F43A83">
              <w:rPr>
                <w:color w:val="000000"/>
              </w:rPr>
              <w:t>постанови КМУ від 11.10.2016 № 710 «Про ефективне використання державних коштів» (зі змінами)</w:t>
            </w:r>
          </w:p>
        </w:tc>
      </w:tr>
      <w:tr w:rsidR="00F43A83" w:rsidRPr="00501CA0" w:rsidTr="004E0E43">
        <w:trPr>
          <w:trHeight w:val="855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CC7C63" w:rsidRPr="00CC7C63" w:rsidRDefault="00CC7C63" w:rsidP="00790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7C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Бензин А-95 (Євро 5), талон, код </w:t>
            </w:r>
            <w:proofErr w:type="spellStart"/>
            <w:r w:rsidRPr="00CC7C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ДК</w:t>
            </w:r>
            <w:proofErr w:type="spellEnd"/>
            <w:r w:rsidRPr="00CC7C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 021:2015 – 09130000-9 Нафта і дистиляти </w:t>
            </w:r>
          </w:p>
          <w:p w:rsidR="00F43A83" w:rsidRDefault="00CC7C63" w:rsidP="00CC7C63">
            <w:pPr>
              <w:pStyle w:val="a5"/>
              <w:spacing w:before="0" w:beforeAutospacing="0" w:after="0" w:afterAutospacing="0"/>
            </w:pPr>
            <w:r w:rsidRPr="00517451">
              <w:t xml:space="preserve"> </w:t>
            </w:r>
            <w:r w:rsidR="00517451" w:rsidRPr="00517451">
              <w:t>(</w:t>
            </w:r>
            <w:r w:rsidR="00517451">
              <w:t xml:space="preserve">номенклатурна позиція - </w:t>
            </w:r>
            <w:r w:rsidRPr="00E04427">
              <w:t>09132000-3 Бензин</w:t>
            </w:r>
            <w:r w:rsidR="00103C2C">
              <w:t>)</w:t>
            </w:r>
          </w:p>
        </w:tc>
      </w:tr>
      <w:tr w:rsidR="00F43A83" w:rsidRPr="007908B2" w:rsidTr="004E0E43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517451" w:rsidP="007908B2">
            <w:pPr>
              <w:pStyle w:val="a5"/>
              <w:spacing w:before="0" w:beforeAutospacing="0" w:after="0" w:afterAutospacing="0"/>
            </w:pPr>
            <w:r w:rsidRPr="00E969B1">
              <w:rPr>
                <w:b/>
              </w:rPr>
              <w:t xml:space="preserve">Запит </w:t>
            </w:r>
            <w:r w:rsidR="00A529F4">
              <w:rPr>
                <w:b/>
              </w:rPr>
              <w:t xml:space="preserve">пропозицій постачальників </w:t>
            </w:r>
            <w:r w:rsidR="00E969B1">
              <w:t xml:space="preserve"> (</w:t>
            </w:r>
            <w:r w:rsidR="00E969B1" w:rsidRPr="00E969B1">
              <w:t>Закупівля здійснюється відповідно до Закону України «Про публічні закупівлі»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7908B2">
              <w:t xml:space="preserve"> (п. 10 Особливостей)</w:t>
            </w:r>
            <w:r w:rsidR="00E969B1" w:rsidRPr="00E969B1">
              <w:t xml:space="preserve"> та Постанови  Кабінету Міністрів України від 14.09.2020 № 822 «Про затвердження Порядку формування та використання електронного каталогу»</w:t>
            </w:r>
            <w:r w:rsidR="00E969B1">
              <w:t>)</w:t>
            </w:r>
            <w:r w:rsidR="007908B2">
              <w:t>.</w:t>
            </w:r>
          </w:p>
        </w:tc>
      </w:tr>
      <w:tr w:rsidR="00103C2C" w:rsidRPr="00DE5113" w:rsidTr="004E0E43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103C2C" w:rsidRDefault="00103C2C" w:rsidP="004E0E43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103C2C" w:rsidRDefault="00103C2C" w:rsidP="00DE5113">
            <w:pPr>
              <w:pStyle w:val="a5"/>
              <w:spacing w:before="0" w:beforeAutospacing="0" w:after="0" w:afterAutospacing="0"/>
              <w:rPr>
                <w:rStyle w:val="a6"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 xml:space="preserve">Обґрунтування </w:t>
            </w:r>
            <w:r w:rsidR="00DE5113" w:rsidRPr="00DE5113">
              <w:rPr>
                <w:rStyle w:val="a6"/>
                <w:bdr w:val="none" w:sz="0" w:space="0" w:color="auto" w:frame="1"/>
              </w:rPr>
              <w:t xml:space="preserve">необхідності </w:t>
            </w:r>
            <w:r w:rsidR="00DE5113">
              <w:rPr>
                <w:rStyle w:val="a6"/>
                <w:bdr w:val="none" w:sz="0" w:space="0" w:color="auto" w:frame="1"/>
              </w:rPr>
              <w:t xml:space="preserve">(доцільності) </w:t>
            </w:r>
            <w:r w:rsidR="00DE5113" w:rsidRPr="00DE5113">
              <w:rPr>
                <w:rStyle w:val="a6"/>
                <w:bdr w:val="none" w:sz="0" w:space="0" w:color="auto" w:frame="1"/>
              </w:rPr>
              <w:t xml:space="preserve">закупівлі </w:t>
            </w:r>
            <w:r>
              <w:rPr>
                <w:rStyle w:val="a6"/>
                <w:bdr w:val="none" w:sz="0" w:space="0" w:color="auto" w:frame="1"/>
              </w:rPr>
              <w:t>Товару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CC7C63" w:rsidRDefault="00B40835" w:rsidP="000930A3">
            <w:pPr>
              <w:pStyle w:val="a5"/>
              <w:spacing w:before="0" w:beforeAutospacing="0" w:after="0" w:afterAutospacing="0"/>
            </w:pPr>
            <w:r>
              <w:t xml:space="preserve">Закупівля </w:t>
            </w:r>
            <w:r w:rsidR="00CC7C63" w:rsidRPr="00CC7C63">
              <w:rPr>
                <w:b/>
                <w:bCs/>
                <w:color w:val="000000"/>
              </w:rPr>
              <w:t>Бензин</w:t>
            </w:r>
            <w:r w:rsidR="004B52E1">
              <w:rPr>
                <w:b/>
                <w:bCs/>
                <w:color w:val="000000"/>
              </w:rPr>
              <w:t>у</w:t>
            </w:r>
            <w:r w:rsidR="00CC7C63" w:rsidRPr="00CC7C63">
              <w:rPr>
                <w:b/>
                <w:bCs/>
                <w:color w:val="000000"/>
              </w:rPr>
              <w:t xml:space="preserve"> А-95 (Євро 5)</w:t>
            </w:r>
            <w:r w:rsidR="00CC7C63">
              <w:rPr>
                <w:b/>
                <w:bCs/>
                <w:color w:val="000000"/>
              </w:rPr>
              <w:t xml:space="preserve">, талон </w:t>
            </w:r>
            <w:r w:rsidR="00CC7C63">
              <w:t xml:space="preserve">здійснюється для забезпечення безперебійної роботи транспортних засобів Київського МЦЗ під час виконання функцій та завдань, покладених на </w:t>
            </w:r>
            <w:r w:rsidR="00C9446E">
              <w:t>установу, відповідно до фактичного обсягу витрат бензину А-95 та враховуючі обсяги кошторисних призначень на 2024 рік</w:t>
            </w:r>
            <w:r w:rsidR="007A4FF0" w:rsidRPr="007A4FF0">
              <w:t xml:space="preserve"> за статтею "Утримання Державної служби зайнятості" по КЕКВ 2210 "Предмети, матеріали, обладнання та інвентар"</w:t>
            </w:r>
            <w:r w:rsidR="007A4FF0">
              <w:t xml:space="preserve"> за напрямом  «</w:t>
            </w:r>
            <w:r w:rsidR="007A4FF0" w:rsidRPr="007A4FF0">
              <w:t>Пально-мастильні матеріали</w:t>
            </w:r>
            <w:r w:rsidR="007A4FF0">
              <w:t xml:space="preserve">» (паливо). </w:t>
            </w:r>
          </w:p>
          <w:p w:rsidR="00CC7C63" w:rsidRPr="00E969B1" w:rsidRDefault="00CC7C63" w:rsidP="000930A3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  <w:tr w:rsidR="00F43A83" w:rsidRPr="007908B2" w:rsidTr="004E0E43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E969B1" w:rsidRPr="007908B2" w:rsidRDefault="00DE5113" w:rsidP="00E9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0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 для закупівлі даного виду товару</w:t>
            </w:r>
            <w:r w:rsidR="005367C1" w:rsidRPr="00790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2A0FB7" w:rsidRPr="007908B2" w:rsidRDefault="002A0FB7" w:rsidP="00E969B1">
            <w:pPr>
              <w:spacing w:after="0" w:line="24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</w:pPr>
            <w:r w:rsidRPr="007908B2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Якість повинна відповідати</w:t>
            </w:r>
            <w:r w:rsidRPr="007908B2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uk-UA"/>
              </w:rPr>
              <w:t xml:space="preserve"> </w:t>
            </w:r>
            <w:r w:rsidRPr="007908B2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Державним</w:t>
            </w:r>
            <w:r w:rsidRPr="007908B2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uk-UA"/>
              </w:rPr>
              <w:t xml:space="preserve"> </w:t>
            </w:r>
            <w:r w:rsidRPr="007908B2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стандартам</w:t>
            </w:r>
            <w:r w:rsidRPr="007908B2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uk-UA"/>
              </w:rPr>
              <w:t xml:space="preserve"> </w:t>
            </w:r>
            <w:r w:rsidRPr="007908B2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та</w:t>
            </w:r>
            <w:r w:rsidRPr="007908B2">
              <w:rPr>
                <w:rFonts w:ascii="Times New Roman" w:hAnsi="Times New Roman"/>
                <w:spacing w:val="-26"/>
                <w:w w:val="105"/>
                <w:sz w:val="24"/>
                <w:szCs w:val="24"/>
                <w:lang w:val="uk-UA"/>
              </w:rPr>
              <w:t xml:space="preserve"> </w:t>
            </w:r>
            <w:r w:rsidRPr="007908B2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технічним</w:t>
            </w:r>
            <w:r w:rsidRPr="007908B2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uk-UA"/>
              </w:rPr>
              <w:t xml:space="preserve"> </w:t>
            </w:r>
            <w:r w:rsidRPr="007908B2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вимогам</w:t>
            </w:r>
            <w:r w:rsidRPr="007908B2">
              <w:rPr>
                <w:rFonts w:ascii="Times New Roman" w:hAnsi="Times New Roman"/>
                <w:spacing w:val="-16"/>
                <w:w w:val="105"/>
                <w:sz w:val="24"/>
                <w:szCs w:val="24"/>
                <w:lang w:val="uk-UA"/>
              </w:rPr>
              <w:t xml:space="preserve"> </w:t>
            </w:r>
            <w:r w:rsidRPr="007908B2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ДСТУ 7687:2015:1 та вимогам Державних стандартів (ДСТУ) або Технічних умов (ТУ), які діють на території України, що підтверджується паспортом якості виробника та/або сертифікатом відповідності (для товару, який підлягає сертифікації).</w:t>
            </w:r>
          </w:p>
          <w:p w:rsidR="002A0FB7" w:rsidRPr="002A0FB7" w:rsidRDefault="002A0FB7" w:rsidP="00E9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0930A3" w:rsidRPr="00C9446E" w:rsidRDefault="000930A3" w:rsidP="002A0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43A83" w:rsidRPr="007908B2" w:rsidTr="004E0E43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5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C9446E" w:rsidRDefault="00DE5113" w:rsidP="00CA31A5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CA31A5">
              <w:rPr>
                <w:lang w:eastAsia="ru-RU"/>
              </w:rPr>
              <w:t xml:space="preserve">Відповідно до статті 4 Закону «Про публічні закупівлі» 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кошторисом видатків Київського міського центру зайнятості від </w:t>
            </w:r>
            <w:r w:rsidR="00CA31A5" w:rsidRPr="00CA31A5">
              <w:rPr>
                <w:lang w:eastAsia="ru-RU"/>
              </w:rPr>
              <w:t>12.02.2024 р.</w:t>
            </w:r>
            <w:r w:rsidRPr="00CA31A5">
              <w:rPr>
                <w:lang w:eastAsia="ru-RU"/>
              </w:rPr>
              <w:t>, передбачені видатки на закупівлю товару, що є предметом цієї закупівлі за КЕКВ 2210</w:t>
            </w:r>
            <w:r w:rsidR="00CA31A5">
              <w:rPr>
                <w:lang w:eastAsia="ru-RU"/>
              </w:rPr>
              <w:t xml:space="preserve"> </w:t>
            </w:r>
            <w:r w:rsidR="00CA31A5" w:rsidRPr="007A4FF0">
              <w:t>"Предмети, матеріали, обладнання та інвентар"</w:t>
            </w:r>
            <w:r w:rsidR="00CA31A5">
              <w:t xml:space="preserve"> за напрямом  «</w:t>
            </w:r>
            <w:r w:rsidR="00CA31A5" w:rsidRPr="007A4FF0">
              <w:t>Пально-мастильні матеріали</w:t>
            </w:r>
            <w:r w:rsidR="00CA31A5">
              <w:t>» (паливо).</w:t>
            </w:r>
          </w:p>
        </w:tc>
      </w:tr>
      <w:tr w:rsidR="00F43A83" w:rsidRPr="007908B2" w:rsidTr="004E0E43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6F241F" w:rsidRDefault="00BA15D4" w:rsidP="00BA15D4">
            <w:pPr>
              <w:pStyle w:val="a5"/>
              <w:spacing w:after="0"/>
              <w:jc w:val="both"/>
            </w:pPr>
            <w:r>
              <w:rPr>
                <w:b/>
                <w:lang w:eastAsia="ru-RU"/>
              </w:rPr>
              <w:t>440</w:t>
            </w:r>
            <w:r w:rsidR="001F332F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800,00</w:t>
            </w:r>
            <w:r w:rsidR="00CA31A5">
              <w:rPr>
                <w:b/>
                <w:lang w:eastAsia="ru-RU"/>
              </w:rPr>
              <w:t xml:space="preserve"> </w:t>
            </w:r>
            <w:r w:rsidR="00C9446E" w:rsidRPr="006F241F">
              <w:t xml:space="preserve">грн. (чотириста </w:t>
            </w:r>
            <w:r w:rsidR="00CA31A5">
              <w:t xml:space="preserve">сорок </w:t>
            </w:r>
            <w:r w:rsidR="00C9446E" w:rsidRPr="006F241F">
              <w:t xml:space="preserve">тисяч </w:t>
            </w:r>
            <w:r>
              <w:t>вісімсот</w:t>
            </w:r>
            <w:r w:rsidR="00C9446E" w:rsidRPr="006F241F">
              <w:t xml:space="preserve"> </w:t>
            </w:r>
            <w:r w:rsidR="00CA31A5" w:rsidRPr="006F241F">
              <w:t>гривні</w:t>
            </w:r>
            <w:r w:rsidR="00C9446E" w:rsidRPr="006F241F">
              <w:t xml:space="preserve"> </w:t>
            </w:r>
            <w:r>
              <w:t>0</w:t>
            </w:r>
            <w:r w:rsidR="00C9446E" w:rsidRPr="006F241F">
              <w:t>0 копійок) з урахуванням ПДВ</w:t>
            </w:r>
          </w:p>
        </w:tc>
      </w:tr>
      <w:tr w:rsidR="00F43A83" w:rsidRPr="00501CA0" w:rsidTr="004E0E43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D63CA" w:rsidRPr="00AD63CA" w:rsidRDefault="00AD63CA" w:rsidP="00536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63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Замовником здійснено розрахунок очікуваної вартості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предмета закупівлі</w:t>
            </w:r>
            <w:r w:rsidRPr="00AD63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      </w:r>
          </w:p>
          <w:p w:rsidR="00B7342A" w:rsidRDefault="00AD63CA" w:rsidP="00536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Замовником проведений моніторинг ціни на закупівлю </w:t>
            </w:r>
            <w:r w:rsidRPr="00CC7C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Бензин</w:t>
            </w:r>
            <w:r w:rsidRPr="00AD63CA">
              <w:rPr>
                <w:b/>
                <w:bCs/>
                <w:color w:val="000000"/>
                <w:lang w:val="uk-UA"/>
              </w:rPr>
              <w:t>у</w:t>
            </w:r>
            <w:r w:rsidRPr="00CC7C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А-95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D63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та</w:t>
            </w:r>
            <w:r w:rsid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DE5113" w:rsidRP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визначено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середню </w:t>
            </w:r>
            <w:r w:rsidRP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1-го літру</w:t>
            </w:r>
            <w:r w:rsidRP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DE5113" w:rsidRP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виходячи з середньої ціни на ринку, яка склалась на </w:t>
            </w:r>
            <w:r w:rsid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момент формування</w:t>
            </w:r>
            <w:r w:rsidR="00536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очікуваної вартості</w:t>
            </w:r>
            <w:r w:rsidR="00DE5113" w:rsidRP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5968C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яка визначена </w:t>
            </w:r>
            <w:r w:rsidR="00DE5113" w:rsidRP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шляхом пошуку, збору та аналізу загальнодоступної інформації про ціни постачальників, що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містяться у відкритому доступі</w:t>
            </w:r>
            <w:r w:rsid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7622EB" w:rsidRPr="00DE5113" w:rsidRDefault="005968CE" w:rsidP="005968CE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="00536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отреба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складає - </w:t>
            </w:r>
            <w:r w:rsidR="00CA31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8435</w:t>
            </w:r>
            <w:r w:rsidR="006F24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ітрів. Орієнтовна середня ціна 1 л - </w:t>
            </w:r>
            <w:r w:rsidR="006F24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52,2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536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</w:tbl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622EB" w:rsidRDefault="007622EB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622EB" w:rsidRPr="002D7DE5" w:rsidRDefault="007622EB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D85" w:rsidRPr="002D7DE5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/>
        </w:rPr>
      </w:pPr>
    </w:p>
    <w:sectPr w:rsidR="00150D85" w:rsidRPr="002D7DE5" w:rsidSect="007908B2">
      <w:pgSz w:w="16838" w:h="11906" w:orient="landscape"/>
      <w:pgMar w:top="568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5999"/>
    <w:rsid w:val="00057DC7"/>
    <w:rsid w:val="000930A3"/>
    <w:rsid w:val="000C4F5D"/>
    <w:rsid w:val="00103C2C"/>
    <w:rsid w:val="00110345"/>
    <w:rsid w:val="00127DD5"/>
    <w:rsid w:val="00133FFC"/>
    <w:rsid w:val="00150D85"/>
    <w:rsid w:val="001717BE"/>
    <w:rsid w:val="001C2154"/>
    <w:rsid w:val="001C3960"/>
    <w:rsid w:val="001F332F"/>
    <w:rsid w:val="001F745B"/>
    <w:rsid w:val="002568D5"/>
    <w:rsid w:val="00273BBC"/>
    <w:rsid w:val="002A0FB7"/>
    <w:rsid w:val="002A3E0D"/>
    <w:rsid w:val="002B22A9"/>
    <w:rsid w:val="002C1920"/>
    <w:rsid w:val="002C4259"/>
    <w:rsid w:val="002C4CBC"/>
    <w:rsid w:val="002D7DE5"/>
    <w:rsid w:val="003234A4"/>
    <w:rsid w:val="00323971"/>
    <w:rsid w:val="00324749"/>
    <w:rsid w:val="003719FE"/>
    <w:rsid w:val="00385B01"/>
    <w:rsid w:val="003A7212"/>
    <w:rsid w:val="00445320"/>
    <w:rsid w:val="00464387"/>
    <w:rsid w:val="00487A5F"/>
    <w:rsid w:val="004B52E1"/>
    <w:rsid w:val="004C0AEB"/>
    <w:rsid w:val="004E0E43"/>
    <w:rsid w:val="00501CA0"/>
    <w:rsid w:val="00506CF1"/>
    <w:rsid w:val="00517451"/>
    <w:rsid w:val="005367C1"/>
    <w:rsid w:val="00567D2A"/>
    <w:rsid w:val="005800D2"/>
    <w:rsid w:val="005968CE"/>
    <w:rsid w:val="005B27E7"/>
    <w:rsid w:val="00612130"/>
    <w:rsid w:val="006760C0"/>
    <w:rsid w:val="006B5A4B"/>
    <w:rsid w:val="006F210B"/>
    <w:rsid w:val="006F241F"/>
    <w:rsid w:val="007139DE"/>
    <w:rsid w:val="007460EC"/>
    <w:rsid w:val="00760D64"/>
    <w:rsid w:val="007622EB"/>
    <w:rsid w:val="0077040D"/>
    <w:rsid w:val="007908B2"/>
    <w:rsid w:val="007A4FF0"/>
    <w:rsid w:val="007C3F48"/>
    <w:rsid w:val="00863B5D"/>
    <w:rsid w:val="00885EBF"/>
    <w:rsid w:val="008A33EE"/>
    <w:rsid w:val="008D7907"/>
    <w:rsid w:val="008E7E53"/>
    <w:rsid w:val="008F7055"/>
    <w:rsid w:val="0093100E"/>
    <w:rsid w:val="009378A3"/>
    <w:rsid w:val="009766F0"/>
    <w:rsid w:val="009A3EE8"/>
    <w:rsid w:val="009B71F3"/>
    <w:rsid w:val="00A34A14"/>
    <w:rsid w:val="00A529F4"/>
    <w:rsid w:val="00A9250D"/>
    <w:rsid w:val="00A9740B"/>
    <w:rsid w:val="00AD4B8E"/>
    <w:rsid w:val="00AD63CA"/>
    <w:rsid w:val="00B40835"/>
    <w:rsid w:val="00B41CDD"/>
    <w:rsid w:val="00B45537"/>
    <w:rsid w:val="00B62E38"/>
    <w:rsid w:val="00B72302"/>
    <w:rsid w:val="00B7342A"/>
    <w:rsid w:val="00BA15D4"/>
    <w:rsid w:val="00BB2BC0"/>
    <w:rsid w:val="00BE6217"/>
    <w:rsid w:val="00BF2042"/>
    <w:rsid w:val="00C62FA9"/>
    <w:rsid w:val="00C8571F"/>
    <w:rsid w:val="00C9446E"/>
    <w:rsid w:val="00CA0C88"/>
    <w:rsid w:val="00CA31A5"/>
    <w:rsid w:val="00CA56E0"/>
    <w:rsid w:val="00CA6D1A"/>
    <w:rsid w:val="00CC7C63"/>
    <w:rsid w:val="00CD52D6"/>
    <w:rsid w:val="00CE3674"/>
    <w:rsid w:val="00D1720A"/>
    <w:rsid w:val="00D93E24"/>
    <w:rsid w:val="00DA1D84"/>
    <w:rsid w:val="00DC40E1"/>
    <w:rsid w:val="00DE5113"/>
    <w:rsid w:val="00DF01CF"/>
    <w:rsid w:val="00E10FC0"/>
    <w:rsid w:val="00E53A76"/>
    <w:rsid w:val="00E53D34"/>
    <w:rsid w:val="00E9177C"/>
    <w:rsid w:val="00E969B1"/>
    <w:rsid w:val="00EB570D"/>
    <w:rsid w:val="00EB6AE7"/>
    <w:rsid w:val="00EC089B"/>
    <w:rsid w:val="00ED50D2"/>
    <w:rsid w:val="00F43A83"/>
    <w:rsid w:val="00F55E7F"/>
    <w:rsid w:val="00FA214A"/>
    <w:rsid w:val="00FD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  <w:style w:type="paragraph" w:customStyle="1" w:styleId="3ShiftAlt">
    <w:name w:val="Додаток_заголовок 3 (Додаток___Shift+Alt)"/>
    <w:uiPriority w:val="2"/>
    <w:rsid w:val="007622EB"/>
    <w:pPr>
      <w:suppressAutoHyphens/>
      <w:autoSpaceDE w:val="0"/>
      <w:autoSpaceDN w:val="0"/>
      <w:adjustRightInd w:val="0"/>
      <w:spacing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932A-4DFB-429C-9A6A-2EF4384D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Avramenko_SB</cp:lastModifiedBy>
  <cp:revision>12</cp:revision>
  <cp:lastPrinted>2024-02-14T12:29:00Z</cp:lastPrinted>
  <dcterms:created xsi:type="dcterms:W3CDTF">2024-02-14T09:10:00Z</dcterms:created>
  <dcterms:modified xsi:type="dcterms:W3CDTF">2024-02-15T08:16:00Z</dcterms:modified>
</cp:coreProperties>
</file>