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9" w:rsidRPr="003719FE" w:rsidRDefault="00A820A9" w:rsidP="00A820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>Бензин А-95 (Євро 5)</w:t>
      </w:r>
      <w:r w:rsidRPr="00AD415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 2023 р. 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UA-2023-05-25-006476-a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A820A9" w:rsidRPr="003719FE" w:rsidRDefault="00A820A9" w:rsidP="00A820A9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A820A9" w:rsidRDefault="00A820A9" w:rsidP="00A820A9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20A9" w:rsidRDefault="00A820A9" w:rsidP="00A820A9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5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5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A820A9" w:rsidRPr="00F43A83" w:rsidRDefault="00A820A9" w:rsidP="00A820A9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837"/>
        <w:gridCol w:w="9268"/>
      </w:tblGrid>
      <w:tr w:rsidR="00A820A9" w:rsidRPr="00D67979" w:rsidTr="003A3BB1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Pr="0067501A" w:rsidRDefault="00A820A9" w:rsidP="003A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«Єдиний закупівельний словник»: </w:t>
            </w:r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09130000-9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Нафта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дистиляти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(09132000-3- Бензин)</w:t>
            </w:r>
          </w:p>
          <w:p w:rsidR="00A820A9" w:rsidRPr="00476D1F" w:rsidRDefault="00A820A9" w:rsidP="003A3BB1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A820A9" w:rsidTr="003A3BB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Запит ціни пропозиції</w:t>
            </w:r>
          </w:p>
        </w:tc>
      </w:tr>
      <w:tr w:rsidR="00A820A9" w:rsidTr="003A3BB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 w:rsidRPr="004E4F04">
              <w:rPr>
                <w:b/>
                <w:bCs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UA-2023-05-25-006476-a</w:t>
            </w:r>
          </w:p>
        </w:tc>
      </w:tr>
      <w:tr w:rsidR="00A820A9" w:rsidRPr="00BC2DA7" w:rsidTr="003A3BB1">
        <w:trPr>
          <w:trHeight w:val="109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4</w:t>
            </w:r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  <w:p w:rsidR="00A820A9" w:rsidRDefault="00A820A9" w:rsidP="003A3BB1">
            <w:pPr>
              <w:rPr>
                <w:lang w:val="uk-UA" w:eastAsia="uk-UA"/>
              </w:rPr>
            </w:pPr>
            <w:bookmarkStart w:id="0" w:name="_GoBack"/>
            <w:bookmarkEnd w:id="0"/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  <w:p w:rsidR="00A820A9" w:rsidRPr="00216F34" w:rsidRDefault="00A820A9" w:rsidP="003A3BB1">
            <w:pPr>
              <w:rPr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Pr="00AF669A" w:rsidRDefault="00A820A9" w:rsidP="003A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бензину – 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Бензин А-95 (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Євро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A820A9" w:rsidRPr="00AF669A" w:rsidRDefault="00A820A9" w:rsidP="003A3B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6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AF6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реалізації</w:t>
            </w:r>
            <w:proofErr w:type="spell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талон (</w:t>
            </w:r>
            <w:proofErr w:type="spellStart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номіналом</w:t>
            </w:r>
            <w:proofErr w:type="spell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(десять) та/</w:t>
            </w:r>
            <w:proofErr w:type="spellStart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</w:t>
            </w:r>
            <w:proofErr w:type="spellStart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двадцять</w:t>
            </w:r>
            <w:proofErr w:type="spell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</w:t>
            </w:r>
            <w:proofErr w:type="gramStart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AF6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A820A9" w:rsidRPr="007D1565" w:rsidRDefault="00A820A9" w:rsidP="003A3B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палива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своїми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характеристиками і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показниками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повинен</w:t>
            </w:r>
            <w:proofErr w:type="gram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відповідати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ДСТУ 7687:2015 «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автомобільні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ічні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та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Технічному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регламенту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автомобільних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бензинів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дизельного,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суднових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котельних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палив.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Показники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повинні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відповідати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значенням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 за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екологічним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класом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Євро5. Бензин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виготовлений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нафтовій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без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додавання</w:t>
            </w:r>
            <w:proofErr w:type="spellEnd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етанолу</w:t>
            </w:r>
            <w:proofErr w:type="spellEnd"/>
          </w:p>
          <w:p w:rsidR="00A820A9" w:rsidRPr="00AF669A" w:rsidRDefault="00A820A9" w:rsidP="003A3B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талону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</w:p>
          <w:p w:rsidR="00A820A9" w:rsidRPr="00AF669A" w:rsidRDefault="00A820A9" w:rsidP="003A3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Строк поставки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талонів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10 (десяти)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але не </w:t>
            </w:r>
            <w:proofErr w:type="spellStart"/>
            <w:proofErr w:type="gram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.2023 року, за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: 01033, м.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Жилянська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, буд. 47-Б. Поставка Товару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однією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партією</w:t>
            </w:r>
            <w:proofErr w:type="spellEnd"/>
          </w:p>
          <w:p w:rsidR="00A820A9" w:rsidRPr="00AF669A" w:rsidRDefault="00A820A9" w:rsidP="003A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Бензин А-95 (</w:t>
            </w:r>
            <w:proofErr w:type="spellStart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>Євро</w:t>
            </w:r>
            <w:proofErr w:type="spellEnd"/>
            <w:r w:rsidRP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5), талон.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розгалужену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мережу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заправочних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всій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заправочної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(АЗС), яка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радіусі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 10 км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від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місця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розташування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автотранспорту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Замовника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адресою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м.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Киї</w:t>
            </w:r>
            <w:proofErr w:type="gram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proofErr w:type="gram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вул</w:t>
            </w:r>
            <w:proofErr w:type="spellEnd"/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Жилянська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, б. 47-Б</w:t>
            </w:r>
            <w:r w:rsidRPr="00AF66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(з метою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колапсів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заторі</w:t>
            </w:r>
            <w:proofErr w:type="gram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та з метою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максимальної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Відпуск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здійснюватися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стаціонарних</w:t>
            </w:r>
            <w:proofErr w:type="spell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proofErr w:type="gramStart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F669A">
              <w:rPr>
                <w:rFonts w:ascii="Times New Roman" w:hAnsi="Times New Roman" w:cs="Times New Roman"/>
                <w:sz w:val="24"/>
                <w:szCs w:val="24"/>
              </w:rPr>
              <w:t xml:space="preserve"> талонах</w:t>
            </w:r>
          </w:p>
          <w:p w:rsidR="00A820A9" w:rsidRPr="00CE4F74" w:rsidRDefault="00A820A9" w:rsidP="003A3BB1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A820A9" w:rsidRPr="00CE4F74" w:rsidTr="003A3BB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E6103" w:rsidP="003A3BB1">
            <w:pPr>
              <w:pStyle w:val="a4"/>
              <w:spacing w:before="0" w:beforeAutospacing="0" w:after="0" w:afterAutospacing="0"/>
            </w:pPr>
            <w:r>
              <w:t xml:space="preserve">Розмір бюджетного призначення в межах передбачених затвердженим кошторисом видатків на 2023 рік Київському міському центру зайнятості </w:t>
            </w:r>
            <w:r w:rsidRPr="001C3960">
              <w:t xml:space="preserve">та прогнозованих обсягів використання бензину А-95 </w:t>
            </w:r>
            <w:r>
              <w:t>протягом 2023 року.</w:t>
            </w:r>
          </w:p>
        </w:tc>
      </w:tr>
      <w:tr w:rsidR="00A820A9" w:rsidRPr="00D06B2E" w:rsidTr="003A3BB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128170,00 грн, з ПДВ</w:t>
            </w:r>
          </w:p>
        </w:tc>
      </w:tr>
      <w:tr w:rsidR="00A820A9" w:rsidRPr="00CE4F74" w:rsidTr="003A3BB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>
              <w:rPr>
                <w:rStyle w:val="a5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820A9" w:rsidRDefault="00A820A9" w:rsidP="003A3BB1">
            <w:pPr>
              <w:pStyle w:val="a4"/>
              <w:spacing w:before="0" w:beforeAutospacing="0" w:after="0" w:afterAutospacing="0"/>
            </w:pPr>
            <w:r w:rsidRPr="007D1565">
              <w:t>Визначення очікуваної вартості предмета закупівлі обумовлене</w:t>
            </w:r>
            <w:r>
              <w:t xml:space="preserve"> </w:t>
            </w:r>
            <w:r w:rsidRPr="007D1565">
              <w:t xml:space="preserve">статистичним аналізом про середньомісячне використання паливно-мастильних матеріалів на потреби замовника за попередній період та згідно </w:t>
            </w:r>
            <w:r w:rsidRPr="00CE4F74">
              <w:t>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</w:t>
            </w:r>
            <w:r w:rsidRPr="007D1565">
              <w:rPr>
                <w:i/>
              </w:rPr>
              <w:t xml:space="preserve"> (</w:t>
            </w:r>
            <w:hyperlink r:id="rId5" w:history="1">
              <w:r w:rsidRPr="00410029">
                <w:rPr>
                  <w:rStyle w:val="a3"/>
                </w:rPr>
                <w:t>https://index.minfin.com.ua/markets/fuel/</w:t>
              </w:r>
            </w:hyperlink>
            <w:r w:rsidRPr="007D1565">
              <w:rPr>
                <w:i/>
              </w:rPr>
              <w:t xml:space="preserve">) </w:t>
            </w:r>
            <w:r w:rsidRPr="00CE4F74">
              <w:t>станом на дату оголошення закупівлі).</w:t>
            </w:r>
          </w:p>
        </w:tc>
      </w:tr>
    </w:tbl>
    <w:p w:rsidR="00A820A9" w:rsidRPr="00E52447" w:rsidRDefault="00A820A9" w:rsidP="00A820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20A9" w:rsidRPr="0093100E" w:rsidRDefault="00A820A9" w:rsidP="00A820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63E2" w:rsidRPr="00A820A9" w:rsidRDefault="000663E2">
      <w:pPr>
        <w:rPr>
          <w:lang w:val="uk-UA"/>
        </w:rPr>
      </w:pPr>
    </w:p>
    <w:sectPr w:rsidR="000663E2" w:rsidRPr="00A820A9" w:rsidSect="00A82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9"/>
    <w:rsid w:val="000663E2"/>
    <w:rsid w:val="00A820A9"/>
    <w:rsid w:val="00A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9"/>
  </w:style>
  <w:style w:type="paragraph" w:styleId="2">
    <w:name w:val="heading 2"/>
    <w:basedOn w:val="a"/>
    <w:next w:val="a"/>
    <w:link w:val="20"/>
    <w:uiPriority w:val="9"/>
    <w:unhideWhenUsed/>
    <w:qFormat/>
    <w:rsid w:val="00A8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820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82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A9"/>
  </w:style>
  <w:style w:type="paragraph" w:styleId="2">
    <w:name w:val="heading 2"/>
    <w:basedOn w:val="a"/>
    <w:next w:val="a"/>
    <w:link w:val="20"/>
    <w:uiPriority w:val="9"/>
    <w:unhideWhenUsed/>
    <w:qFormat/>
    <w:rsid w:val="00A8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820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82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markets/fu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S. Riabushchyts</dc:creator>
  <cp:lastModifiedBy>Lesia S. Riabushchyts</cp:lastModifiedBy>
  <cp:revision>1</cp:revision>
  <dcterms:created xsi:type="dcterms:W3CDTF">2023-05-25T11:04:00Z</dcterms:created>
  <dcterms:modified xsi:type="dcterms:W3CDTF">2023-05-25T11:26:00Z</dcterms:modified>
</cp:coreProperties>
</file>